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contextualSpacing/>
        <w:jc w:val="center"/>
        <w:rPr>
          <w:rFonts w:ascii="Liberation Sans" w:hAnsi="Liberation Sans" w:cs="Liberation Sans"/>
          <w:spacing w:val="-20"/>
          <w:sz w:val="32"/>
          <w:szCs w:val="32"/>
        </w:rPr>
      </w:pPr>
      <w:r>
        <w:rPr>
          <w:rFonts w:ascii="Liberation Sans" w:hAnsi="Liberation Sans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558" cy="6380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558" cy="63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  <w:sz w:val="40"/>
          <w:szCs w:val="40"/>
        </w:rPr>
      </w:pPr>
      <w:r>
        <w:rPr>
          <w:rFonts w:ascii="Liberation Sans" w:hAnsi="Liberation Sans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</w:rPr>
      </w:pPr>
      <w:r>
        <w:rPr>
          <w:rFonts w:ascii="Liberation Sans" w:hAnsi="Liberation Sans" w:cs="Liberation Sans"/>
          <w:b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right="21"/>
        <w:tabs>
          <w:tab w:val="left" w:pos="9900" w:leader="none"/>
        </w:tabs>
        <w:rPr>
          <w:rFonts w:ascii="Liberation Sans" w:hAnsi="Liberation Sans" w:cs="Liberation Sans"/>
          <w:color w:val="0000ff"/>
          <w:sz w:val="28"/>
          <w:szCs w:val="28"/>
        </w:rPr>
      </w:pPr>
      <w:r>
        <w:rPr>
          <w:rFonts w:ascii="Liberation Sans" w:hAnsi="Liberation Sans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634-т</w:t>
      </w:r>
      <w:r/>
      <w:r>
        <w:rPr>
          <w:rFonts w:ascii="Liberation Sans" w:hAnsi="Liberation Sans" w:cs="Liberation Sans"/>
          <w:color w:val="0000ff"/>
          <w:sz w:val="28"/>
          <w:szCs w:val="28"/>
        </w:rPr>
      </w:r>
      <w:r/>
    </w:p>
    <w:p>
      <w:pPr>
        <w:pStyle w:val="836"/>
        <w:ind w:right="21"/>
        <w:tabs>
          <w:tab w:val="left" w:pos="9900" w:leader="none"/>
        </w:tabs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45"/>
        <w:ind w:left="540" w:right="228"/>
        <w:rPr>
          <w:rFonts w:ascii="Liberation Sans" w:hAnsi="Liberation Sans" w:cs="Liberation Sans"/>
          <w:color w:val="0000ff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ff"/>
          <w:sz w:val="24"/>
        </w:rPr>
        <w:t xml:space="preserve">                                                  г. Салехард</w:t>
      </w:r>
      <w:r>
        <w:rPr>
          <w:rFonts w:ascii="Liberation Sans" w:hAnsi="Liberation Sans" w:cs="Liberation Sans"/>
        </w:rPr>
      </w:r>
      <w:r/>
    </w:p>
    <w:p>
      <w:pPr>
        <w:pStyle w:val="845"/>
        <w:ind w:left="540" w:right="228"/>
        <w:rPr>
          <w:rFonts w:ascii="Liberation Sans" w:hAnsi="Liberation Sans" w:cs="Liberation Sans"/>
          <w:color w:val="0000ff"/>
          <w:sz w:val="24"/>
          <w:szCs w:val="24"/>
        </w:rPr>
      </w:pPr>
      <w:r>
        <w:rPr>
          <w:rFonts w:ascii="Liberation Sans" w:hAnsi="Liberation Sans" w:cs="Liberation Sans"/>
          <w:color w:val="0000ff"/>
          <w:sz w:val="24"/>
          <w:highlight w:val="none"/>
        </w:rPr>
      </w:r>
      <w:r>
        <w:rPr>
          <w:rFonts w:ascii="Liberation Sans" w:hAnsi="Liberation Sans" w:cs="Liberation Sans"/>
          <w:color w:val="0000ff"/>
          <w:sz w:val="24"/>
          <w:highlight w:val="none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Об установлении тарифов на тепловую энергию (мощность), производимую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акционерным обществом «Ямалкоммунэнерго» (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филиал акционерного общества «Ямалкоммунэнерго» </w:t>
        <w:br/>
        <w:t xml:space="preserve">в Надымском районе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и поставляемую потребителям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города Надым муниципального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округ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а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Надымский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район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Я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мало-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Н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енецкого автономного округа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и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на 2025 - 2029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83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«О ценообразовании в сфере теплоснабжения»,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hyperlink r:id="rId10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</w:t>
        <w:br/>
        <w:t xml:space="preserve">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</w:t>
      </w:r>
      <w:r>
        <w:rPr>
          <w:rFonts w:ascii="Liberation Sans" w:hAnsi="Liberation Sans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</w:t>
      </w:r>
      <w:r>
        <w:rPr>
          <w:rFonts w:ascii="Liberation Sans" w:hAnsi="Liberation Sans" w:cs="Liberation Sans"/>
          <w:b/>
          <w:sz w:val="28"/>
          <w:szCs w:val="28"/>
        </w:rPr>
        <w:t xml:space="preserve">, </w:t>
      </w:r>
      <w:r>
        <w:rPr>
          <w:rFonts w:ascii="Liberation Sans" w:hAnsi="Liberation Sans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left="0" w:right="0" w:firstLine="709"/>
        <w:jc w:val="both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акционерным обществом «Ямалкоммунэнерго» (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филиал акционерного общества «Ямалкоммунэнерго» в Надымском районе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и поставляемую потребителям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города Надым муниципального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округ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Надымский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район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мало-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Н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1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36"/>
        <w:contextualSpacing/>
        <w:ind w:firstLine="709"/>
        <w:jc w:val="both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акционерному обществу «Ямалкоммунэнерго»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(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филиал акционерного общества «Ямалкоммунэнерго» в Надымском районе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2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2025 - 2029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firstLine="709"/>
        <w:jc w:val="both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2025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firstLine="709"/>
        <w:jc w:val="both"/>
        <w:spacing w:before="0" w:after="0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4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2025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836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836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</w:t>
      </w:r>
      <w:r>
        <w:rPr>
          <w:rFonts w:ascii="Liberation Sans" w:hAnsi="Liberation Sans" w:cs="Liberation Sans"/>
          <w:bCs/>
          <w:sz w:val="28"/>
          <w:szCs w:val="28"/>
        </w:rPr>
        <w:t xml:space="preserve">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ПРИЛОЖЕНИЕ № 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634-т</w:t>
      </w:r>
      <w:r/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Тарифы на тепловую энергию (мощность), производимую </w:t>
      </w:r>
      <w:r>
        <w:rPr>
          <w:rFonts w:ascii="Liberation Sans" w:hAnsi="Liberation Sans" w:cs="Liberation Sans"/>
          <w:sz w:val="24"/>
          <w:szCs w:val="24"/>
        </w:rPr>
        <w:t xml:space="preserve">акционерным обществом «Ямалкоммунэнерго» </w:t>
        <w:br/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(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филиал акционерного общества «Ямалкоммунэнерго» в Надымском районе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города Надым муниципального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округ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Надымский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район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мало-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Н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 2025 – 2029 годы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52"/>
        <w:jc w:val="left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626"/>
        <w:gridCol w:w="2124"/>
        <w:gridCol w:w="1229"/>
        <w:gridCol w:w="2143"/>
        <w:gridCol w:w="1104"/>
        <w:gridCol w:w="937"/>
        <w:gridCol w:w="1210"/>
        <w:gridCol w:w="1027"/>
        <w:gridCol w:w="1033"/>
        <w:gridCol w:w="2079"/>
      </w:tblGrid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2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88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в Надымском районе</w:t>
            </w:r>
            <w:r>
              <w:rPr>
                <w:rFonts w:ascii="Liberation Sans" w:hAnsi="Liberation Sans" w:cs="Liberation Sans"/>
                <w:bCs/>
              </w:rPr>
              <w:t xml:space="preserve">)</w:t>
            </w:r>
            <w:r>
              <w:rPr>
                <w:rFonts w:ascii="Liberation Sans" w:hAnsi="Liberation Sans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3112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ind w:left="9214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rFonts w:ascii="Liberation Sans" w:hAnsi="Liberation Sans" w:cs="Liberation Sans"/>
          <w:sz w:val="26"/>
          <w:szCs w:val="26"/>
          <w:highlight w:val="none"/>
        </w:rPr>
      </w:r>
      <w:r/>
    </w:p>
    <w:p>
      <w:pPr>
        <w:pStyle w:val="836"/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</w:p>
    <w:p>
      <w:pPr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36"/>
        <w:contextualSpacing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contextualSpacing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contextualSpacing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contextualSpacing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2024 года № 634-т</w:t>
      </w: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921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</w:rPr>
        <w:t xml:space="preserve">Льготные тарифы на тепловую энергию (мощность), производимую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акционерным обществом «Ямалкоммунэнерго» </w:t>
        <w:br/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(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филиал акционерного общества «Ямалкоммунэнерго» в Надымском районе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cs="Liberation Sans"/>
          <w:b w:val="0"/>
          <w:bCs w:val="0"/>
        </w:rPr>
        <w:t xml:space="preserve"> </w:t>
      </w:r>
      <w:r>
        <w:rPr>
          <w:rFonts w:ascii="Liberation Sans" w:hAnsi="Liberation Sans" w:cs="Liberation Sans"/>
          <w:b w:val="0"/>
        </w:rPr>
        <w:t xml:space="preserve">и поставляемую потребителям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города Надым муниципального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округ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Надымский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район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мало-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Н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на 2025 – 2029 годы</w:t>
      </w:r>
      <w:r>
        <w:rPr>
          <w:b w:val="0"/>
          <w:bCs w:val="0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ind w:left="1080" w:firstLine="0"/>
        <w:jc w:val="right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  <w:t xml:space="preserve">      Таблица </w:t>
      </w:r>
      <w:r>
        <w:rPr>
          <w:rFonts w:ascii="Liberation Sans" w:hAnsi="Liberation Sans" w:cs="Liberation Sans"/>
          <w:b w:val="0"/>
          <w:highlight w:val="none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2726"/>
        <w:gridCol w:w="2063"/>
        <w:gridCol w:w="1305"/>
        <w:gridCol w:w="2215"/>
        <w:gridCol w:w="1178"/>
        <w:gridCol w:w="913"/>
        <w:gridCol w:w="1289"/>
        <w:gridCol w:w="1106"/>
        <w:gridCol w:w="1004"/>
        <w:gridCol w:w="1897"/>
      </w:tblGrid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W w:w="43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(филиал акционерного общества «Ямалкоммунэнерго» </w:t>
              <w:br/>
              <w:t xml:space="preserve">в Надымском районе)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</w:rPr>
              <w:t xml:space="preserve">1536,29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1674,56</w:t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72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06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4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1843,55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2009,47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5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6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rFonts w:ascii="Liberation Sans" w:hAnsi="Liberation Sans" w:eastAsia="Liberation Serif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7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highlight w:val="none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ПРИЛОЖЕНИЕ № </w:t>
      </w:r>
      <w:r>
        <w:rPr>
          <w:rFonts w:ascii="Liberation Sans" w:hAnsi="Liberation Sans" w:cs="Liberation Sans"/>
          <w:sz w:val="24"/>
          <w:szCs w:val="24"/>
        </w:rPr>
        <w:t xml:space="preserve">3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от </w:t>
      </w:r>
      <w:r>
        <w:rPr>
          <w:rFonts w:ascii="Liberation Sans" w:hAnsi="Liberation Sans" w:cs="Liberation Sans"/>
          <w:sz w:val="24"/>
          <w:szCs w:val="24"/>
        </w:rPr>
        <w:t xml:space="preserve">__ __________________ 2024</w:t>
      </w:r>
      <w:r>
        <w:rPr>
          <w:rFonts w:ascii="Liberation Sans" w:hAnsi="Liberation Sans" w:cs="Liberation Sans"/>
          <w:sz w:val="24"/>
          <w:szCs w:val="24"/>
        </w:rPr>
        <w:t xml:space="preserve"> года № 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ind w:left="9204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Долгосрочные параметры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регулирования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тарифов</w:t>
      </w:r>
      <w:r>
        <w:rPr>
          <w:rFonts w:ascii="Liberation Sans" w:hAnsi="Liberation Sans" w:cs="Liberation Sans"/>
          <w:sz w:val="24"/>
          <w:szCs w:val="24"/>
        </w:rPr>
        <w:t xml:space="preserve">, устанавливаемые на долгосрочный период регулирования </w:t>
      </w:r>
      <w:r>
        <w:rPr>
          <w:rFonts w:ascii="Liberation Sans" w:hAnsi="Liberation Sans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 </w:t>
      </w:r>
      <w:r>
        <w:rPr>
          <w:rFonts w:ascii="Liberation Sans" w:hAnsi="Liberation Sans" w:cs="Liberation Sans"/>
          <w:sz w:val="24"/>
          <w:szCs w:val="24"/>
        </w:rPr>
        <w:t xml:space="preserve">акционерному  обществу «Ямалкоммунэнерго»</w:t>
      </w:r>
      <w:r>
        <w:rPr>
          <w:rFonts w:ascii="Liberation Sans" w:hAnsi="Liberation Sans" w:cs="Liberation Sans"/>
          <w:sz w:val="24"/>
          <w:szCs w:val="24"/>
        </w:rPr>
        <w:t xml:space="preserve"> (филиал акционерного общества «Ямалкоммунэнерго» в Надымском районе)</w:t>
      </w:r>
      <w:r>
        <w:rPr>
          <w:rFonts w:ascii="Liberation Sans" w:hAnsi="Liberation Sans" w:cs="Liberation Sans"/>
          <w:sz w:val="24"/>
          <w:szCs w:val="24"/>
        </w:rPr>
        <w:t xml:space="preserve"> на 2025-2029 годы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jc w:val="right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Таблица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tbl>
      <w:tblPr>
        <w:tblpPr w:horzAnchor="margin" w:tblpX="-30" w:vertAnchor="text" w:tblpY="382" w:leftFromText="180" w:topFromText="0" w:rightFromText="180" w:bottomFromText="0"/>
        <w:tblW w:w="50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400"/>
        <w:gridCol w:w="1389"/>
        <w:gridCol w:w="636"/>
        <w:gridCol w:w="1150"/>
        <w:gridCol w:w="1099"/>
        <w:gridCol w:w="1035"/>
        <w:gridCol w:w="1166"/>
        <w:gridCol w:w="1385"/>
        <w:gridCol w:w="2127"/>
        <w:gridCol w:w="27"/>
        <w:gridCol w:w="1224"/>
        <w:gridCol w:w="1224"/>
        <w:gridCol w:w="1341"/>
        <w:gridCol w:w="849"/>
      </w:tblGrid>
      <w:tr>
        <w:trPr>
          <w:trHeight w:val="971"/>
        </w:trPr>
        <w:tc>
          <w:tcPr>
            <w:tcW w:w="40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№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п/п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регулируемой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организации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636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Год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115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перацион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ных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1099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Индекс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э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ффектив-нос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ти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операцион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ных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Норматив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ный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уровень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прибыли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gridSpan w:val="2"/>
            <w:tcW w:w="2551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begin"/>
            </w:r>
            <w:r>
              <w:rPr>
                <w:rFonts w:ascii="Liberation Sans" w:hAnsi="Liberation Sans" w:cs="Liberation Sans"/>
                <w:sz w:val="17"/>
                <w:szCs w:val="17"/>
              </w:rPr>
              <w:instrText xml:space="preserve">HYPERLINK \l "Par29"</w:instrTex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separate"/>
            </w:r>
            <w:r>
              <w:rPr>
                <w:rFonts w:ascii="Liberation Sans" w:hAnsi="Liberation Sans" w:cs="Liberation Sans"/>
                <w:color w:val="0000ff"/>
                <w:sz w:val="17"/>
                <w:szCs w:val="17"/>
              </w:rPr>
              <w:t xml:space="preserve">&lt;*&gt;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end"/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gridSpan w:val="4"/>
            <w:tcW w:w="4602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э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нергетической эффективности 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begin"/>
            </w:r>
            <w:r>
              <w:rPr>
                <w:rFonts w:ascii="Liberation Sans" w:hAnsi="Liberation Sans" w:cs="Liberation Sans"/>
                <w:sz w:val="17"/>
                <w:szCs w:val="17"/>
              </w:rPr>
              <w:instrText xml:space="preserve">HYPERLINK \l "Par30"</w:instrTex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separate"/>
            </w:r>
            <w:r>
              <w:rPr>
                <w:rFonts w:ascii="Liberation Sans" w:hAnsi="Liberation Sans" w:cs="Liberation Sans"/>
                <w:color w:val="0000ff"/>
                <w:sz w:val="17"/>
                <w:szCs w:val="17"/>
              </w:rPr>
              <w:t xml:space="preserve">&lt;**&gt;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end"/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1341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Реализация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программ в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области энергосбереже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ния и повышения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энергетической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эффективности 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begin"/>
            </w:r>
            <w:r>
              <w:rPr>
                <w:rFonts w:ascii="Liberation Sans" w:hAnsi="Liberation Sans" w:cs="Liberation Sans"/>
                <w:sz w:val="17"/>
                <w:szCs w:val="17"/>
              </w:rPr>
              <w:instrText xml:space="preserve">HYPERLINK \l "Par30"</w:instrTex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separate"/>
            </w:r>
            <w:r>
              <w:rPr>
                <w:rFonts w:ascii="Liberation Sans" w:hAnsi="Liberation Sans" w:cs="Liberation Sans"/>
                <w:color w:val="0000ff"/>
                <w:sz w:val="17"/>
                <w:szCs w:val="17"/>
              </w:rPr>
              <w:t xml:space="preserve">&lt;**&gt;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end"/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84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Динами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ка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и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змене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ния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  <w:highlight w:val="none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на топливо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  <w:highlight w:val="none"/>
              </w:rPr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begin"/>
            </w:r>
            <w:r>
              <w:rPr>
                <w:rFonts w:ascii="Liberation Sans" w:hAnsi="Liberation Sans" w:cs="Liberation Sans"/>
                <w:sz w:val="17"/>
                <w:szCs w:val="17"/>
              </w:rPr>
              <w:instrText xml:space="preserve">HYPERLINK \l "Par30"</w:instrTex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separate"/>
            </w:r>
            <w:r>
              <w:rPr>
                <w:rFonts w:ascii="Liberation Sans" w:hAnsi="Liberation Sans" w:cs="Liberation Sans"/>
                <w:color w:val="0000ff"/>
                <w:sz w:val="17"/>
                <w:szCs w:val="17"/>
              </w:rPr>
              <w:t xml:space="preserve">&lt;***&gt;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end"/>
            </w:r>
            <w:r>
              <w:rPr>
                <w:rFonts w:ascii="Liberation Sans" w:hAnsi="Liberation Sans" w:cs="Liberation Sans"/>
                <w:sz w:val="17"/>
                <w:szCs w:val="17"/>
                <w:highlight w:val="none"/>
              </w:rPr>
            </w:r>
            <w:r/>
          </w:p>
        </w:tc>
      </w:tr>
      <w:tr>
        <w:trPr>
          <w:trHeight w:val="971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5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9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3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66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Количество прекращений подачи тепловой энергии, в результате технологичес-ких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1385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tabs>
                <w:tab w:val="left" w:pos="747" w:leader="none"/>
              </w:tabs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Количество прекращений подачи тепловой энергии, в результате технологичес-ких нарушений на источниках тепловой энергии на </w:t>
              <w:br/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Удельный расход топлива на производство единицы тепловой энергии, отпускаемой </w:t>
              <w:br/>
              <w:t xml:space="preserve">с коллекторов источников тепловой энергии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gridSpan w:val="2"/>
            <w:tcW w:w="1251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Величина технологичес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ких потерь при передаче тепловой энергии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1224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Отношение величины технологичес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ких потерь тепловой энергии к материальной характеристике тепловой сети</w:t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1341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  <w:tc>
          <w:tcPr>
            <w:tcW w:w="84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</w:r>
            <w:r>
              <w:rPr>
                <w:rFonts w:ascii="Liberation Sans" w:hAnsi="Liberation Sans" w:cs="Liberation Sans"/>
                <w:sz w:val="17"/>
                <w:szCs w:val="17"/>
              </w:rPr>
            </w:r>
            <w:r/>
          </w:p>
        </w:tc>
      </w:tr>
      <w:tr>
        <w:trPr>
          <w:trHeight w:val="644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тыс.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руб.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%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%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ед/км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ед/(Гкал/час)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м3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/Гкал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тыс.Гкал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trHeight w:val="200"/>
        </w:trPr>
        <w:tc>
          <w:tcPr>
            <w:tcW w:w="40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trHeight w:val="971"/>
        </w:trPr>
        <w:tc>
          <w:tcPr>
            <w:tcW w:w="40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jc w:val="center"/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Акционерное общество «Ямалкоммун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энерго» </w:t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(филиал акционерного общества «Ямалкоммун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энерго» </w:t>
              <w:br/>
              <w:t xml:space="preserve">в Надымском районе)</w:t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626 981,16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134,684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71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 w:cs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 w:cs="PT Astra Serif"/>
                <w:sz w:val="18"/>
                <w:szCs w:val="18"/>
              </w:rPr>
            </w:r>
            <w:r>
              <w:rPr>
                <w:rFonts w:ascii="PT Astra Serif" w:hAnsi="PT Astra Serif" w:cs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134,684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06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134,684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67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134,684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134,684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36"/>
        <w:ind w:left="0" w:right="-170" w:firstLine="540"/>
        <w:jc w:val="both"/>
        <w:tabs>
          <w:tab w:val="left" w:pos="15876" w:leader="none"/>
        </w:tabs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cs="Liberation Sans"/>
          <w:sz w:val="18"/>
          <w:szCs w:val="18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cs="Liberation Sans"/>
          <w:sz w:val="18"/>
          <w:szCs w:val="18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  <w:r>
        <w:rPr>
          <w:rFonts w:ascii="Liberation Sans" w:hAnsi="Liberation Sans" w:cs="Liberation Sans"/>
        </w:rPr>
      </w:r>
      <w:r/>
    </w:p>
    <w:p>
      <w:pPr>
        <w:pStyle w:val="836"/>
        <w:ind w:left="0" w:right="-170" w:firstLine="540"/>
        <w:jc w:val="both"/>
        <w:tabs>
          <w:tab w:val="left" w:pos="15876" w:leader="none"/>
        </w:tabs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bookmarkStart w:id="3" w:name="Par30"/>
      <w:r>
        <w:rPr>
          <w:rFonts w:ascii="Liberation Sans" w:hAnsi="Liberation Sans" w:cs="Liberation Sans"/>
          <w:sz w:val="18"/>
          <w:szCs w:val="18"/>
        </w:rPr>
        <w:t xml:space="preserve">&lt;**&gt; Заполняется в слу</w:t>
      </w:r>
      <w:r>
        <w:rPr>
          <w:rFonts w:ascii="Liberation Sans" w:hAnsi="Liberation Sans" w:cs="Liberation Sans"/>
          <w:sz w:val="18"/>
          <w:szCs w:val="18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  <w:bookmarkEnd w:id="3"/>
      <w:r>
        <w:rPr>
          <w:rFonts w:ascii="Liberation Sans" w:hAnsi="Liberation Sans" w:cs="Liberation Sans"/>
        </w:rPr>
      </w:r>
      <w:r/>
    </w:p>
    <w:p>
      <w:pPr>
        <w:pStyle w:val="836"/>
        <w:ind w:left="0" w:right="-170" w:firstLine="540"/>
        <w:jc w:val="both"/>
        <w:tabs>
          <w:tab w:val="left" w:pos="15876" w:leader="none"/>
        </w:tabs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cs="Liberation Sans"/>
          <w:sz w:val="18"/>
          <w:szCs w:val="18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Правилами рас</w:t>
      </w:r>
      <w:r>
        <w:rPr>
          <w:rFonts w:ascii="Liberation Sans" w:hAnsi="Liberation Sans" w:cs="Liberation Sans"/>
          <w:sz w:val="18"/>
          <w:szCs w:val="18"/>
        </w:rPr>
        <w:t xml:space="preserve">пределения расхода топл</w:t>
      </w:r>
      <w:r>
        <w:rPr>
          <w:rFonts w:ascii="Liberation Sans" w:hAnsi="Liberation Sans" w:cs="Liberation Sans"/>
          <w:sz w:val="18"/>
          <w:szCs w:val="18"/>
        </w:rPr>
        <w:t xml:space="preserve">ива.</w:t>
      </w:r>
      <w:r/>
    </w:p>
    <w:sectPr>
      <w:footnotePr/>
      <w:endnotePr/>
      <w:type w:val="nextPage"/>
      <w:pgSz w:w="16838" w:h="11906" w:orient="landscape"/>
      <w:pgMar w:top="1134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80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710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80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  <w:rPr>
        <w:rFonts w:cs="PT Astra Serif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4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80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paragraph" w:styleId="837">
    <w:name w:val="Заголовок 4"/>
    <w:basedOn w:val="836"/>
    <w:next w:val="836"/>
    <w:link w:val="857"/>
    <w:qFormat/>
    <w:pPr>
      <w:jc w:val="both"/>
      <w:keepNext/>
      <w:outlineLvl w:val="3"/>
    </w:pPr>
    <w:rPr>
      <w:sz w:val="28"/>
    </w:rPr>
  </w:style>
  <w:style w:type="character" w:styleId="838">
    <w:name w:val="Основной шрифт абзаца"/>
    <w:next w:val="838"/>
    <w:link w:val="836"/>
    <w:uiPriority w:val="1"/>
    <w:semiHidden/>
    <w:unhideWhenUsed/>
  </w:style>
  <w:style w:type="table" w:styleId="839">
    <w:name w:val="Обычная таблица"/>
    <w:next w:val="839"/>
    <w:link w:val="836"/>
    <w:uiPriority w:val="99"/>
    <w:semiHidden/>
    <w:unhideWhenUsed/>
    <w:qFormat/>
    <w:tblPr/>
  </w:style>
  <w:style w:type="numbering" w:styleId="840">
    <w:name w:val="Нет списка"/>
    <w:next w:val="840"/>
    <w:link w:val="836"/>
    <w:uiPriority w:val="99"/>
    <w:semiHidden/>
    <w:unhideWhenUsed/>
  </w:style>
  <w:style w:type="paragraph" w:styleId="841">
    <w:name w:val="Знак Знак Знак Знак"/>
    <w:basedOn w:val="836"/>
    <w:next w:val="841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842">
    <w:name w:val="ConsPlusNormal"/>
    <w:next w:val="842"/>
    <w:link w:val="836"/>
    <w:pPr>
      <w:ind w:firstLine="720"/>
    </w:pPr>
    <w:rPr>
      <w:rFonts w:ascii="Arial" w:hAnsi="Arial" w:cs="Arial"/>
      <w:lang w:val="ru-RU" w:eastAsia="ru-RU" w:bidi="ar-SA"/>
    </w:rPr>
  </w:style>
  <w:style w:type="paragraph" w:styleId="843">
    <w:name w:val="ConsPlusCell"/>
    <w:next w:val="843"/>
    <w:link w:val="836"/>
    <w:pPr>
      <w:widowControl w:val="off"/>
    </w:pPr>
    <w:rPr>
      <w:rFonts w:ascii="Arial" w:hAnsi="Arial" w:cs="Arial"/>
      <w:lang w:val="ru-RU" w:eastAsia="ru-RU" w:bidi="ar-SA"/>
    </w:rPr>
  </w:style>
  <w:style w:type="table" w:styleId="844">
    <w:name w:val="Сетка таблицы"/>
    <w:basedOn w:val="839"/>
    <w:next w:val="844"/>
    <w:link w:val="836"/>
    <w:tblPr/>
  </w:style>
  <w:style w:type="paragraph" w:styleId="845">
    <w:name w:val="Основной текст с отступом 2"/>
    <w:basedOn w:val="836"/>
    <w:next w:val="845"/>
    <w:link w:val="847"/>
    <w:pPr>
      <w:ind w:firstLine="720"/>
      <w:jc w:val="both"/>
    </w:pPr>
    <w:rPr>
      <w:sz w:val="28"/>
    </w:rPr>
  </w:style>
  <w:style w:type="paragraph" w:styleId="846">
    <w:name w:val="ConsPlusNonformat"/>
    <w:next w:val="846"/>
    <w:link w:val="836"/>
    <w:uiPriority w:val="99"/>
    <w:rPr>
      <w:rFonts w:ascii="Courier New" w:hAnsi="Courier New" w:cs="Courier New"/>
      <w:lang w:val="ru-RU" w:eastAsia="ru-RU" w:bidi="ar-SA"/>
    </w:rPr>
  </w:style>
  <w:style w:type="character" w:styleId="847">
    <w:name w:val="Основной текст с отступом 2 Знак"/>
    <w:basedOn w:val="838"/>
    <w:next w:val="847"/>
    <w:link w:val="845"/>
    <w:rPr>
      <w:sz w:val="28"/>
      <w:szCs w:val="24"/>
    </w:rPr>
  </w:style>
  <w:style w:type="paragraph" w:styleId="848">
    <w:name w:val="Верхний колонтитул"/>
    <w:basedOn w:val="836"/>
    <w:next w:val="848"/>
    <w:link w:val="849"/>
    <w:pPr>
      <w:tabs>
        <w:tab w:val="center" w:pos="4677" w:leader="none"/>
        <w:tab w:val="right" w:pos="9355" w:leader="none"/>
      </w:tabs>
    </w:pPr>
  </w:style>
  <w:style w:type="character" w:styleId="849">
    <w:name w:val="Верхний колонтитул Знак"/>
    <w:basedOn w:val="838"/>
    <w:next w:val="849"/>
    <w:link w:val="848"/>
    <w:rPr>
      <w:sz w:val="24"/>
      <w:szCs w:val="24"/>
    </w:rPr>
  </w:style>
  <w:style w:type="paragraph" w:styleId="850">
    <w:name w:val="Нижний колонтитул"/>
    <w:basedOn w:val="836"/>
    <w:next w:val="850"/>
    <w:link w:val="851"/>
    <w:pPr>
      <w:tabs>
        <w:tab w:val="center" w:pos="4677" w:leader="none"/>
        <w:tab w:val="right" w:pos="9355" w:leader="none"/>
      </w:tabs>
    </w:pPr>
  </w:style>
  <w:style w:type="character" w:styleId="851">
    <w:name w:val="Нижний колонтитул Знак"/>
    <w:basedOn w:val="838"/>
    <w:next w:val="851"/>
    <w:link w:val="850"/>
    <w:rPr>
      <w:sz w:val="24"/>
      <w:szCs w:val="24"/>
    </w:rPr>
  </w:style>
  <w:style w:type="paragraph" w:styleId="852">
    <w:name w:val="ConsPlusTitle"/>
    <w:next w:val="852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3">
    <w:name w:val="Основной текст с отступом"/>
    <w:basedOn w:val="836"/>
    <w:next w:val="853"/>
    <w:link w:val="854"/>
    <w:pPr>
      <w:ind w:left="283"/>
      <w:spacing w:after="120"/>
    </w:pPr>
  </w:style>
  <w:style w:type="character" w:styleId="854">
    <w:name w:val="Основной текст с отступом Знак"/>
    <w:basedOn w:val="838"/>
    <w:next w:val="854"/>
    <w:link w:val="853"/>
    <w:rPr>
      <w:sz w:val="24"/>
      <w:szCs w:val="24"/>
    </w:rPr>
  </w:style>
  <w:style w:type="paragraph" w:styleId="855">
    <w:name w:val="Текст выноски"/>
    <w:basedOn w:val="836"/>
    <w:next w:val="855"/>
    <w:link w:val="856"/>
    <w:rPr>
      <w:rFonts w:ascii="Tahoma" w:hAnsi="Tahoma" w:cs="Tahoma"/>
      <w:sz w:val="16"/>
      <w:szCs w:val="16"/>
    </w:rPr>
  </w:style>
  <w:style w:type="character" w:styleId="856">
    <w:name w:val="Текст выноски Знак"/>
    <w:basedOn w:val="838"/>
    <w:next w:val="856"/>
    <w:link w:val="855"/>
    <w:rPr>
      <w:rFonts w:ascii="Tahoma" w:hAnsi="Tahoma" w:cs="Tahoma"/>
      <w:sz w:val="16"/>
      <w:szCs w:val="16"/>
    </w:rPr>
  </w:style>
  <w:style w:type="character" w:styleId="857">
    <w:name w:val="Заголовок 4 Знак"/>
    <w:basedOn w:val="838"/>
    <w:next w:val="857"/>
    <w:link w:val="837"/>
    <w:rPr>
      <w:sz w:val="28"/>
      <w:szCs w:val="24"/>
    </w:rPr>
  </w:style>
  <w:style w:type="paragraph" w:styleId="858">
    <w:name w:val="Основной текст"/>
    <w:basedOn w:val="836"/>
    <w:next w:val="858"/>
    <w:link w:val="859"/>
    <w:pPr>
      <w:spacing w:after="120"/>
    </w:pPr>
    <w:rPr>
      <w:sz w:val="28"/>
      <w:szCs w:val="28"/>
    </w:rPr>
  </w:style>
  <w:style w:type="character" w:styleId="859">
    <w:name w:val="Основной текст Знак"/>
    <w:basedOn w:val="838"/>
    <w:next w:val="859"/>
    <w:link w:val="858"/>
    <w:rPr>
      <w:sz w:val="28"/>
      <w:szCs w:val="28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1_694" w:customStyle="1">
    <w:name w:val="Обычный"/>
    <w:next w:val="836"/>
    <w:link w:val="83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21FAF34727E4E93BD845608C84F88EE5A2D220B235018A31618DB5B4205409AF2C61E" TargetMode="External"/><Relationship Id="rId11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4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5" Type="http://schemas.openxmlformats.org/officeDocument/2006/relationships/hyperlink" Target="consultantplus://offline/ref=BC4FDCB53AB2EC8B14B6B3AE8120CF99E618AD28C81A94C69A1C057EC095CEE9BB73B2CF9B88F0D7DA4765HEQ0F" TargetMode="External"/><Relationship Id="rId16" Type="http://schemas.openxmlformats.org/officeDocument/2006/relationships/hyperlink" Target="consultantplus://offline/ref=BC4FDCB53AB2EC8B14B6B3AE8120CF99E618AD28C81A94C69A1C057EC095CEE9BB73B2CF9B88F0D7DA4765HEQFF" TargetMode="External"/><Relationship Id="rId17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kiblik</dc:creator>
  <cp:revision>14</cp:revision>
  <dcterms:created xsi:type="dcterms:W3CDTF">2020-11-29T08:28:00Z</dcterms:created>
  <dcterms:modified xsi:type="dcterms:W3CDTF">2024-12-22T07:33:52Z</dcterms:modified>
  <cp:version>786432</cp:version>
</cp:coreProperties>
</file>